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 (Web)"/>
        <w:spacing w:before="0" w:after="160"/>
        <w:rPr>
          <w:rFonts w:ascii="Inter Regular Regular" w:cs="Inter Regular Regular" w:hAnsi="Inter Regular Regular" w:eastAsia="Inter Regular Regular"/>
        </w:rPr>
      </w:pPr>
      <w:r>
        <w:rPr>
          <w:rFonts w:ascii="Inter Regular Bold" w:hAnsi="Inter Regular Bold"/>
          <w:sz w:val="22"/>
          <w:szCs w:val="22"/>
          <w:rtl w:val="0"/>
          <w:lang w:val="en-US"/>
        </w:rPr>
        <w:t>About Terrascope</w:t>
      </w:r>
    </w:p>
    <w:p>
      <w:pPr>
        <w:pStyle w:val="Default"/>
        <w:spacing w:before="0" w:after="200" w:line="240" w:lineRule="auto"/>
        <w:rPr>
          <w:rFonts w:ascii="Inter Regular Regular" w:cs="Inter Regular Regular" w:hAnsi="Inter Regular Regular" w:eastAsia="Inter Regular Regular"/>
          <w:outline w:val="0"/>
          <w:color w:val="000000"/>
          <w:sz w:val="22"/>
          <w:szCs w:val="22"/>
          <w:u w:color="000000"/>
          <w:shd w:val="clear" w:color="auto" w:fill="ffffff"/>
          <w14:textFill>
            <w14:solidFill>
              <w14:srgbClr w14:val="000000"/>
            </w14:solidFill>
          </w14:textFill>
        </w:rPr>
      </w:pPr>
      <w:r>
        <w:rPr>
          <w:rFonts w:ascii="Inter Regular Regular" w:hAnsi="Inter Regular Regular"/>
          <w:outline w:val="0"/>
          <w:color w:val="000000"/>
          <w:sz w:val="22"/>
          <w:szCs w:val="22"/>
          <w:u w:color="000000"/>
          <w:shd w:val="clear" w:color="auto" w:fill="ffffff"/>
          <w:rtl w:val="0"/>
          <w:lang w:val="en-US"/>
          <w14:textFill>
            <w14:solidFill>
              <w14:srgbClr w14:val="000000"/>
            </w14:solidFill>
          </w14:textFill>
        </w:rPr>
        <w:t>Terrascope is a leading decarbonisation software platform designed specifically for the agri-food industry. Our comprehensive solution covers a wide range of sectors connected to forestry, land, and agri-food value chains. By blending deep industry expertise with advanced climate science, data science, and machine learning, Terrascope enables companies to effectively manage emissions across their supply chains. Our integrated platform offers solutions for Product and Corporate Carbon Footprinting, addressing Scope 3 and land-based emissions, SBTi FLAG &amp; GHG Protocol LSR reporting, and supporting enterprise decarbonisation goals.</w:t>
      </w:r>
    </w:p>
    <w:p>
      <w:pPr>
        <w:pStyle w:val="Normal (Web)"/>
        <w:spacing w:before="240" w:after="160"/>
        <w:jc w:val="both"/>
        <w:rPr>
          <w:rFonts w:ascii="Inter Regular Regular" w:cs="Inter Regular Regular" w:hAnsi="Inter Regular Regular" w:eastAsia="Inter Regular Regular"/>
          <w:sz w:val="22"/>
          <w:szCs w:val="22"/>
        </w:rPr>
      </w:pPr>
      <w:r>
        <w:rPr>
          <w:rFonts w:ascii="Inter Regular Regular" w:hAnsi="Inter Regular Regular"/>
          <w:sz w:val="22"/>
          <w:szCs w:val="22"/>
          <w:rtl w:val="0"/>
          <w:lang w:val="en-US"/>
        </w:rPr>
        <w:t>Publicly launched in June 2022, Terrascope works with customers across sectors, from agriculture, food &amp; beverages, manufacturing, retail and luxury, to transportation, real estate and TMT. Globally headquartered in Singapore, Terrascope operates in major markets across APAC and EMEA, and is a partner of the Monetary Authority of Singapore</w:t>
      </w:r>
      <w:r>
        <w:rPr>
          <w:rFonts w:ascii="Inter Regular Regular" w:hAnsi="Inter Regular Regular" w:hint="default"/>
          <w:sz w:val="22"/>
          <w:szCs w:val="22"/>
          <w:rtl w:val="0"/>
          <w:lang w:val="en-US"/>
        </w:rPr>
        <w:t>’</w:t>
      </w:r>
      <w:r>
        <w:rPr>
          <w:rFonts w:ascii="Inter Regular Regular" w:hAnsi="Inter Regular Regular"/>
          <w:sz w:val="22"/>
          <w:szCs w:val="22"/>
          <w:rtl w:val="0"/>
          <w:lang w:val="en-US"/>
        </w:rPr>
        <w:t xml:space="preserve">s ESG Impact Hub. </w:t>
      </w:r>
    </w:p>
    <w:p>
      <w:pPr>
        <w:pStyle w:val="Normal (Web)"/>
        <w:spacing w:before="240" w:after="160"/>
        <w:jc w:val="both"/>
        <w:rPr>
          <w:rStyle w:val="None"/>
          <w:rFonts w:ascii="Inter Regular Regular" w:cs="Inter Regular Regular" w:hAnsi="Inter Regular Regular" w:eastAsia="Inter Regular Regular"/>
        </w:rPr>
      </w:pPr>
      <w:r>
        <w:rPr>
          <w:rFonts w:ascii="Inter Regular Regular" w:hAnsi="Inter Regular Regular"/>
          <w:sz w:val="22"/>
          <w:szCs w:val="22"/>
          <w:rtl w:val="0"/>
          <w:lang w:val="en-US"/>
        </w:rPr>
        <w:t xml:space="preserve">Learn more at </w:t>
      </w:r>
      <w:r>
        <w:rPr>
          <w:rStyle w:val="Hyperlink.0"/>
        </w:rPr>
        <w:fldChar w:fldCharType="begin" w:fldLock="0"/>
      </w:r>
      <w:r>
        <w:rPr>
          <w:rStyle w:val="Hyperlink.0"/>
        </w:rPr>
        <w:instrText xml:space="preserve"> HYPERLINK "https://www.globenewswire.com/Tracker?data=sQw4klO9g8Eo6sLKJVWuUkcjJ60xjyKUBB3vp0CUa49vmhd3l0Q6UKYjQtqqTZWLVoB1GPtlG554PaJvEg7Vlw1daMYHiovc0sQiDJoK4QU="</w:instrText>
      </w:r>
      <w:r>
        <w:rPr>
          <w:rStyle w:val="Hyperlink.0"/>
        </w:rPr>
        <w:fldChar w:fldCharType="separate" w:fldLock="0"/>
      </w:r>
      <w:r>
        <w:rPr>
          <w:rStyle w:val="Hyperlink.0"/>
          <w:rtl w:val="0"/>
          <w:lang w:val="en-US"/>
        </w:rPr>
        <w:t>https://www.terrascope.com/</w:t>
      </w:r>
      <w:r>
        <w:rPr/>
        <w:fldChar w:fldCharType="end" w:fldLock="0"/>
      </w:r>
      <w:r>
        <w:rPr>
          <w:rStyle w:val="None"/>
          <w:rFonts w:ascii="Inter Regular Regular" w:hAnsi="Inter Regular Regular"/>
          <w:sz w:val="22"/>
          <w:szCs w:val="22"/>
          <w:rtl w:val="0"/>
          <w:lang w:val="en-US"/>
        </w:rPr>
        <w:t xml:space="preserve"> </w:t>
      </w:r>
    </w:p>
    <w:p>
      <w:pPr>
        <w:pStyle w:val="Body A"/>
        <w:spacing w:after="160" w:line="259" w:lineRule="auto"/>
        <w:jc w:val="both"/>
        <w:rPr>
          <w:rStyle w:val="None"/>
          <w:rFonts w:ascii="Inter Regular Regular" w:cs="Inter Regular Regular" w:hAnsi="Inter Regular Regular" w:eastAsia="Inter Regular Regular"/>
        </w:rPr>
      </w:pPr>
    </w:p>
    <w:p>
      <w:pPr>
        <w:pStyle w:val="Body A"/>
        <w:spacing w:before="240"/>
        <w:jc w:val="both"/>
        <w:rPr>
          <w:rStyle w:val="None"/>
          <w:rFonts w:ascii="Inter Regular Regular" w:cs="Inter Regular Regular" w:hAnsi="Inter Regular Regular" w:eastAsia="Inter Regular Regular"/>
        </w:rPr>
      </w:pPr>
      <w:r>
        <w:rPr>
          <w:rStyle w:val="None"/>
          <w:rFonts w:ascii="Inter Regular Bold" w:hAnsi="Inter Regular Bold"/>
          <w:rtl w:val="0"/>
          <w:lang w:val="en-US"/>
        </w:rPr>
        <w:t>For media inquiries, please contact:</w:t>
      </w:r>
    </w:p>
    <w:tbl>
      <w:tblPr>
        <w:tblW w:w="9000"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445"/>
        <w:gridCol w:w="3555"/>
      </w:tblGrid>
      <w:tr>
        <w:tblPrEx>
          <w:shd w:val="clear" w:color="auto" w:fill="ced7e7"/>
        </w:tblPrEx>
        <w:trPr>
          <w:trHeight w:val="2105" w:hRule="atLeast"/>
        </w:trPr>
        <w:tc>
          <w:tcPr>
            <w:tcW w:type="dxa" w:w="5445"/>
            <w:tcBorders>
              <w:top w:val="nil"/>
              <w:left w:val="nil"/>
              <w:bottom w:val="nil"/>
              <w:right w:val="nil"/>
            </w:tcBorders>
            <w:shd w:val="clear" w:color="auto" w:fill="auto"/>
            <w:tcMar>
              <w:top w:type="dxa" w:w="80"/>
              <w:left w:type="dxa" w:w="80"/>
              <w:bottom w:type="dxa" w:w="80"/>
              <w:right w:type="dxa" w:w="80"/>
            </w:tcMar>
            <w:vAlign w:val="top"/>
          </w:tcPr>
          <w:p>
            <w:pPr>
              <w:pStyle w:val="Body A"/>
              <w:jc w:val="both"/>
              <w:rPr>
                <w:rStyle w:val="None"/>
                <w:rFonts w:ascii="Inter Regular Regular" w:cs="Inter Regular Regular" w:hAnsi="Inter Regular Regular" w:eastAsia="Inter Regular Regular"/>
                <w:shd w:val="nil" w:color="auto" w:fill="auto"/>
              </w:rPr>
            </w:pPr>
            <w:r>
              <w:rPr>
                <w:rStyle w:val="None"/>
                <w:rFonts w:ascii="Inter Regular Regular" w:hAnsi="Inter Regular Regular"/>
                <w:shd w:val="nil" w:color="auto" w:fill="auto"/>
                <w:rtl w:val="0"/>
                <w:lang w:val="en-US"/>
              </w:rPr>
              <w:t>Nigel Goh</w:t>
            </w:r>
          </w:p>
          <w:p>
            <w:pPr>
              <w:pStyle w:val="Body A"/>
              <w:bidi w:val="0"/>
              <w:spacing w:line="240" w:lineRule="auto"/>
              <w:ind w:left="0" w:right="0" w:firstLine="0"/>
              <w:jc w:val="both"/>
              <w:rPr>
                <w:rStyle w:val="None"/>
                <w:rFonts w:ascii="Inter Regular Regular" w:cs="Inter Regular Regular" w:hAnsi="Inter Regular Regular" w:eastAsia="Inter Regular Regular"/>
                <w:shd w:val="nil" w:color="auto" w:fill="auto"/>
                <w:rtl w:val="0"/>
              </w:rPr>
            </w:pPr>
            <w:r>
              <w:rPr>
                <w:rStyle w:val="None"/>
                <w:rFonts w:ascii="Inter Regular Regular" w:hAnsi="Inter Regular Regular"/>
                <w:shd w:val="nil" w:color="auto" w:fill="auto"/>
                <w:rtl w:val="0"/>
                <w:lang w:val="en-US"/>
              </w:rPr>
              <w:t>Marketing Executive</w:t>
            </w:r>
          </w:p>
          <w:p>
            <w:pPr>
              <w:pStyle w:val="Body A"/>
              <w:bidi w:val="0"/>
              <w:spacing w:line="240" w:lineRule="auto"/>
              <w:ind w:left="0" w:right="0" w:firstLine="0"/>
              <w:jc w:val="both"/>
              <w:rPr>
                <w:rtl w:val="0"/>
              </w:rPr>
            </w:pPr>
            <w:r>
              <w:rPr>
                <w:rStyle w:val="Hyperlink.1"/>
              </w:rPr>
              <w:fldChar w:fldCharType="begin" w:fldLock="0"/>
            </w:r>
            <w:r>
              <w:rPr>
                <w:rStyle w:val="Hyperlink.1"/>
              </w:rPr>
              <w:instrText xml:space="preserve"> HYPERLINK "mailto:manola.devos@terrascope.com"</w:instrText>
            </w:r>
            <w:r>
              <w:rPr>
                <w:rStyle w:val="Hyperlink.1"/>
              </w:rPr>
              <w:fldChar w:fldCharType="separate" w:fldLock="0"/>
            </w:r>
            <w:r>
              <w:rPr>
                <w:rStyle w:val="Hyperlink.1"/>
                <w:rtl w:val="0"/>
                <w:lang w:val="en-US"/>
              </w:rPr>
              <w:t>press@terrascope.com</w:t>
            </w:r>
            <w:r>
              <w:rPr/>
              <w:fldChar w:fldCharType="end" w:fldLock="0"/>
            </w:r>
          </w:p>
        </w:tc>
        <w:tc>
          <w:tcPr>
            <w:tcW w:type="dxa" w:w="3555"/>
            <w:tcBorders>
              <w:top w:val="nil"/>
              <w:left w:val="nil"/>
              <w:bottom w:val="nil"/>
              <w:right w:val="nil"/>
            </w:tcBorders>
            <w:shd w:val="clear" w:color="auto" w:fill="auto"/>
            <w:tcMar>
              <w:top w:type="dxa" w:w="80"/>
              <w:left w:type="dxa" w:w="80"/>
              <w:bottom w:type="dxa" w:w="80"/>
              <w:right w:type="dxa" w:w="80"/>
            </w:tcMar>
            <w:vAlign w:val="top"/>
          </w:tcPr>
          <w:p/>
        </w:tc>
      </w:tr>
    </w:tbl>
    <w:p>
      <w:pPr>
        <w:pStyle w:val="Body A"/>
        <w:widowControl w:val="0"/>
        <w:spacing w:before="240" w:line="240" w:lineRule="auto"/>
        <w:ind w:left="108" w:hanging="108"/>
      </w:pPr>
      <w:r>
        <w:rPr>
          <w:rStyle w:val="None"/>
          <w:rFonts w:ascii="Inter Regular Regular" w:cs="Inter Regular Regular" w:hAnsi="Inter Regular Regular" w:eastAsia="Inter Regular Regular"/>
        </w:rPr>
      </w:r>
    </w:p>
    <w:sectPr>
      <w:headerReference w:type="default" r:id="rId4"/>
      <w:footerReference w:type="default" r:id="rId5"/>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Neue">
    <w:charset w:val="00"/>
    <w:family w:val="roman"/>
    <w:pitch w:val="default"/>
  </w:font>
  <w:font w:name="Inter Regular Bold">
    <w:charset w:val="00"/>
    <w:family w:val="roman"/>
    <w:pitch w:val="default"/>
  </w:font>
  <w:font w:name="Inter Regular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A"/>
      <w:tabs>
        <w:tab w:val="center" w:pos="4513"/>
        <w:tab w:val="right" w:pos="9026"/>
      </w:tabs>
      <w:spacing w:line="240" w:lineRule="auto"/>
      <w:jc w:val="right"/>
    </w:pPr>
    <w:r>
      <w:rPr>
        <w:rFonts w:ascii="Calibri" w:hAnsi="Calibri"/>
      </w:rPr>
      <w:drawing xmlns:a="http://schemas.openxmlformats.org/drawingml/2006/main">
        <wp:inline distT="0" distB="0" distL="0" distR="0">
          <wp:extent cx="2559862" cy="874086"/>
          <wp:effectExtent l="0" t="0" r="0" b="0"/>
          <wp:docPr id="1073741825" name="officeArt object" descr="Terrascope-Logo-Horizontal-Hero_Colour | The Great Room"/>
          <wp:cNvGraphicFramePr/>
          <a:graphic xmlns:a="http://schemas.openxmlformats.org/drawingml/2006/main">
            <a:graphicData uri="http://schemas.openxmlformats.org/drawingml/2006/picture">
              <pic:pic xmlns:pic="http://schemas.openxmlformats.org/drawingml/2006/picture">
                <pic:nvPicPr>
                  <pic:cNvPr id="1073741825" name="Terrascope-Logo-Horizontal-Hero_Colour | The Great Room" descr="Terrascope-Logo-Horizontal-Hero_Colour | The Great Room"/>
                  <pic:cNvPicPr>
                    <a:picLocks noChangeAspect="1"/>
                  </pic:cNvPicPr>
                </pic:nvPicPr>
                <pic:blipFill>
                  <a:blip r:embed="rId1">
                    <a:extLst/>
                  </a:blip>
                  <a:stretch>
                    <a:fillRect/>
                  </a:stretch>
                </pic:blipFill>
                <pic:spPr>
                  <a:xfrm>
                    <a:off x="0" y="0"/>
                    <a:ext cx="2559862" cy="874086"/>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A">
    <w:name w:val="Body A"/>
    <w:next w:val="Body A"/>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Inter Regular Regular" w:cs="Inter Regular Regular" w:hAnsi="Inter Regular Regular" w:eastAsia="Inter Regular Regular"/>
      <w:outline w:val="0"/>
      <w:color w:val="0563c1"/>
      <w:sz w:val="22"/>
      <w:szCs w:val="22"/>
      <w:u w:val="single" w:color="0563c1"/>
      <w14:textFill>
        <w14:solidFill>
          <w14:srgbClr w14:val="0563C1"/>
        </w14:solidFill>
      </w14:textFill>
    </w:rPr>
  </w:style>
  <w:style w:type="character" w:styleId="Hyperlink.1">
    <w:name w:val="Hyperlink.1"/>
    <w:basedOn w:val="None"/>
    <w:next w:val="Hyperlink.1"/>
    <w:rPr>
      <w:rFonts w:ascii="Inter Regular Regular" w:cs="Inter Regular Regular" w:hAnsi="Inter Regular Regular" w:eastAsia="Inter Regular Regular"/>
      <w:outline w:val="0"/>
      <w:color w:val="0000ff"/>
      <w:u w:val="single" w:color="0000ff"/>
      <w:shd w:val="nil" w:color="auto" w:fill="auto"/>
      <w:lang w:val="it-IT"/>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