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About Terrascope</w:t>
      </w:r>
    </w:p>
    <w:p w:rsidR="00000000" w:rsidDel="00000000" w:rsidP="00000000" w:rsidRDefault="00000000" w:rsidRPr="00000000" w14:paraId="00000002">
      <w:pPr>
        <w:spacing w:after="160" w:line="259"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Terrascope empowers enterprises to keep the planet habitable for all.</w:t>
      </w:r>
    </w:p>
    <w:p w:rsidR="00000000" w:rsidDel="00000000" w:rsidP="00000000" w:rsidRDefault="00000000" w:rsidRPr="00000000" w14:paraId="00000003">
      <w:pPr>
        <w:spacing w:after="160" w:line="259"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Terrascope is an end-to-end decarbonisation SaaS platform that enables enterprises to measure and manage their Scope 1, Scope 2 and Scope 3 emissions. By leveraging data science, machine learning and sustainability expertise, the Terrascope platform helps large companies decarbonise their business operations and supply chains, guiding them on the most impactful actions they can take in the journey to net zero.</w:t>
      </w:r>
    </w:p>
    <w:p w:rsidR="00000000" w:rsidDel="00000000" w:rsidP="00000000" w:rsidRDefault="00000000" w:rsidRPr="00000000" w14:paraId="00000004">
      <w:pPr>
        <w:spacing w:after="160" w:line="259"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Publicly launched in June 2022, Terrascope works with customers in a variety of sectors, from agriculture, food &amp; beverages, manufacturing, retail and luxury, to transportation, real estate and TMT. Globally headquartered in Singapore, Terrascope operates in major markets across APAC and Europe, and is a partner of the Monetary Authority of Singapore’s ESG Impact Hub. </w:t>
      </w:r>
    </w:p>
    <w:p w:rsidR="00000000" w:rsidDel="00000000" w:rsidP="00000000" w:rsidRDefault="00000000" w:rsidRPr="00000000" w14:paraId="00000005">
      <w:pPr>
        <w:spacing w:after="160" w:line="259"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Learn more at </w:t>
      </w:r>
      <w:hyperlink r:id="rId6">
        <w:r w:rsidDel="00000000" w:rsidR="00000000" w:rsidRPr="00000000">
          <w:rPr>
            <w:rFonts w:ascii="Century Gothic" w:cs="Century Gothic" w:eastAsia="Century Gothic" w:hAnsi="Century Gothic"/>
            <w:color w:val="0563c1"/>
            <w:u w:val="single"/>
            <w:rtl w:val="0"/>
          </w:rPr>
          <w:t xml:space="preserve">https://www.terrascope.com/</w:t>
        </w:r>
      </w:hyperlink>
      <w:r w:rsidDel="00000000" w:rsidR="00000000" w:rsidRPr="00000000">
        <w:rPr>
          <w:rFonts w:ascii="Century Gothic" w:cs="Century Gothic" w:eastAsia="Century Gothic" w:hAnsi="Century Gothic"/>
          <w:rtl w:val="0"/>
        </w:rPr>
        <w:t xml:space="preserve"> </w:t>
      </w:r>
    </w:p>
    <w:p w:rsidR="00000000" w:rsidDel="00000000" w:rsidP="00000000" w:rsidRDefault="00000000" w:rsidRPr="00000000" w14:paraId="00000006">
      <w:pPr>
        <w:rPr>
          <w:rFonts w:ascii="Century Gothic" w:cs="Century Gothic" w:eastAsia="Century Gothic" w:hAnsi="Century Gothic"/>
        </w:rPr>
      </w:pPr>
      <w:r w:rsidDel="00000000" w:rsidR="00000000" w:rsidRPr="00000000">
        <w:rPr>
          <w:rtl w:val="0"/>
        </w:rPr>
      </w:r>
    </w:p>
    <w:p w:rsidR="00000000" w:rsidDel="00000000" w:rsidP="00000000" w:rsidRDefault="00000000" w:rsidRPr="00000000" w14:paraId="00000007">
      <w:pPr>
        <w:spacing w:before="240" w:line="276"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b w:val="1"/>
          <w:rtl w:val="0"/>
        </w:rPr>
        <w:t xml:space="preserve">For media inquiries via Redhill, please contact:</w:t>
      </w:r>
      <w:r w:rsidDel="00000000" w:rsidR="00000000" w:rsidRPr="00000000">
        <w:rPr>
          <w:rtl w:val="0"/>
        </w:rPr>
      </w:r>
    </w:p>
    <w:tbl>
      <w:tblPr>
        <w:tblStyle w:val="Table1"/>
        <w:tblW w:w="90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45"/>
        <w:gridCol w:w="3555"/>
        <w:tblGridChange w:id="0">
          <w:tblGrid>
            <w:gridCol w:w="5445"/>
            <w:gridCol w:w="3555"/>
          </w:tblGrid>
        </w:tblGridChange>
      </w:tblGrid>
      <w:tr>
        <w:trPr>
          <w:cantSplit w:val="0"/>
          <w:trHeight w:val="2085" w:hRule="atLeast"/>
          <w:tblHeader w:val="0"/>
        </w:trPr>
        <w:tc>
          <w:tcPr>
            <w:tcBorders>
              <w:top w:color="000000" w:space="0" w:sz="0" w:val="nil"/>
              <w:left w:color="000000" w:space="0" w:sz="0" w:val="nil"/>
              <w:bottom w:color="000000" w:space="0" w:sz="0" w:val="nil"/>
              <w:right w:color="000000" w:space="0" w:sz="0" w:val="nil"/>
            </w:tcBorders>
            <w:tcMar>
              <w:top w:w="90.0" w:type="dxa"/>
              <w:left w:w="90.0" w:type="dxa"/>
              <w:bottom w:w="90.0" w:type="dxa"/>
              <w:right w:w="90.0" w:type="dxa"/>
            </w:tcMar>
          </w:tcPr>
          <w:p w:rsidR="00000000" w:rsidDel="00000000" w:rsidP="00000000" w:rsidRDefault="00000000" w:rsidRPr="00000000" w14:paraId="00000008">
            <w:pPr>
              <w:spacing w:line="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Marta Bigio</w:t>
            </w:r>
          </w:p>
          <w:p w:rsidR="00000000" w:rsidDel="00000000" w:rsidP="00000000" w:rsidRDefault="00000000" w:rsidRPr="00000000" w14:paraId="00000009">
            <w:pPr>
              <w:spacing w:line="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Redhill Communications</w:t>
            </w:r>
          </w:p>
          <w:p w:rsidR="00000000" w:rsidDel="00000000" w:rsidP="00000000" w:rsidRDefault="00000000" w:rsidRPr="00000000" w14:paraId="0000000A">
            <w:pPr>
              <w:spacing w:line="240" w:lineRule="auto"/>
              <w:jc w:val="both"/>
              <w:rPr>
                <w:rFonts w:ascii="Century Gothic" w:cs="Century Gothic" w:eastAsia="Century Gothic" w:hAnsi="Century Gothic"/>
              </w:rPr>
            </w:pPr>
            <w:hyperlink r:id="rId7">
              <w:r w:rsidDel="00000000" w:rsidR="00000000" w:rsidRPr="00000000">
                <w:rPr>
                  <w:rFonts w:ascii="Century Gothic" w:cs="Century Gothic" w:eastAsia="Century Gothic" w:hAnsi="Century Gothic"/>
                  <w:color w:val="0563c1"/>
                  <w:u w:val="single"/>
                  <w:rtl w:val="0"/>
                </w:rPr>
                <w:t xml:space="preserve">marta.bigio@redhill.asia</w:t>
              </w:r>
            </w:hyperlink>
            <w:r w:rsidDel="00000000" w:rsidR="00000000" w:rsidRPr="00000000">
              <w:rPr>
                <w:rFonts w:ascii="Century Gothic" w:cs="Century Gothic" w:eastAsia="Century Gothic" w:hAnsi="Century Gothic"/>
                <w:rtl w:val="0"/>
              </w:rPr>
              <w:t xml:space="preserve"> </w:t>
            </w:r>
          </w:p>
          <w:p w:rsidR="00000000" w:rsidDel="00000000" w:rsidP="00000000" w:rsidRDefault="00000000" w:rsidRPr="00000000" w14:paraId="0000000B">
            <w:pPr>
              <w:spacing w:line="240" w:lineRule="auto"/>
              <w:jc w:val="both"/>
              <w:rPr>
                <w:rFonts w:ascii="Century Gothic" w:cs="Century Gothic" w:eastAsia="Century Gothic" w:hAnsi="Century Gothic"/>
              </w:rPr>
            </w:pPr>
            <w:r w:rsidDel="00000000" w:rsidR="00000000" w:rsidRPr="00000000">
              <w:rPr>
                <w:rFonts w:ascii="Century Gothic" w:cs="Century Gothic" w:eastAsia="Century Gothic" w:hAnsi="Century Gothic"/>
                <w:rtl w:val="0"/>
              </w:rPr>
              <w:t xml:space="preserve">+65 9139 7354</w:t>
            </w:r>
          </w:p>
          <w:p w:rsidR="00000000" w:rsidDel="00000000" w:rsidP="00000000" w:rsidRDefault="00000000" w:rsidRPr="00000000" w14:paraId="0000000C">
            <w:pPr>
              <w:spacing w:line="240" w:lineRule="auto"/>
              <w:jc w:val="both"/>
              <w:rPr>
                <w:rFonts w:ascii="Century Gothic" w:cs="Century Gothic" w:eastAsia="Century Gothic" w:hAnsi="Century Gothic"/>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90.0" w:type="dxa"/>
              <w:left w:w="90.0" w:type="dxa"/>
              <w:bottom w:w="90.0" w:type="dxa"/>
              <w:right w:w="90.0" w:type="dxa"/>
            </w:tcMar>
          </w:tcPr>
          <w:p w:rsidR="00000000" w:rsidDel="00000000" w:rsidP="00000000" w:rsidRDefault="00000000" w:rsidRPr="00000000" w14:paraId="0000000D">
            <w:pPr>
              <w:spacing w:line="240" w:lineRule="auto"/>
              <w:jc w:val="both"/>
              <w:rPr>
                <w:rFonts w:ascii="Century Gothic" w:cs="Century Gothic" w:eastAsia="Century Gothic" w:hAnsi="Century Gothic"/>
              </w:rPr>
            </w:pPr>
            <w:r w:rsidDel="00000000" w:rsidR="00000000" w:rsidRPr="00000000">
              <w:rPr>
                <w:rtl w:val="0"/>
              </w:rPr>
            </w:r>
          </w:p>
        </w:tc>
      </w:tr>
    </w:tbl>
    <w:p w:rsidR="00000000" w:rsidDel="00000000" w:rsidP="00000000" w:rsidRDefault="00000000" w:rsidRPr="00000000" w14:paraId="0000000E">
      <w:pPr>
        <w:spacing w:after="160" w:line="259" w:lineRule="auto"/>
        <w:jc w:val="both"/>
        <w:rPr>
          <w:rFonts w:ascii="Century Gothic" w:cs="Century Gothic" w:eastAsia="Century Gothic" w:hAnsi="Century Gothic"/>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tabs>
        <w:tab w:val="center" w:leader="none" w:pos="4513"/>
        <w:tab w:val="right" w:leader="none" w:pos="9026"/>
      </w:tabs>
      <w:spacing w:line="240" w:lineRule="auto"/>
      <w:jc w:val="right"/>
      <w:rPr/>
    </w:pPr>
    <w:r w:rsidDel="00000000" w:rsidR="00000000" w:rsidRPr="00000000">
      <w:rPr>
        <w:rFonts w:ascii="Calibri" w:cs="Calibri" w:eastAsia="Calibri" w:hAnsi="Calibri"/>
      </w:rPr>
      <w:drawing>
        <wp:inline distB="0" distT="0" distL="0" distR="0">
          <wp:extent cx="2559862" cy="874086"/>
          <wp:effectExtent b="0" l="0" r="0" t="0"/>
          <wp:docPr descr="Terrascope-Logo-Horizontal-Hero_Colour | The Great Room" id="1" name="image1.png"/>
          <a:graphic>
            <a:graphicData uri="http://schemas.openxmlformats.org/drawingml/2006/picture">
              <pic:pic>
                <pic:nvPicPr>
                  <pic:cNvPr descr="Terrascope-Logo-Horizontal-Hero_Colour | The Great Room" id="0" name="image1.png"/>
                  <pic:cNvPicPr preferRelativeResize="0"/>
                </pic:nvPicPr>
                <pic:blipFill>
                  <a:blip r:embed="rId1"/>
                  <a:srcRect b="0" l="0" r="0" t="0"/>
                  <a:stretch>
                    <a:fillRect/>
                  </a:stretch>
                </pic:blipFill>
                <pic:spPr>
                  <a:xfrm>
                    <a:off x="0" y="0"/>
                    <a:ext cx="2559862" cy="874086"/>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globenewswire.com/Tracker?data=sQw4klO9g8Eo6sLKJVWuUkcjJ60xjyKUBB3vp0CUa49vmhd3l0Q6UKYjQtqqTZWLVoB1GPtlG554PaJvEg7Vlw1daMYHiovc0sQiDJoK4QU=" TargetMode="External"/><Relationship Id="rId7" Type="http://schemas.openxmlformats.org/officeDocument/2006/relationships/hyperlink" Target="mailto:marta.bigio@redhill.asia"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